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FD1" w:rsidRDefault="007C30A7" w:rsidP="00AB1C36">
      <w:pPr>
        <w:spacing w:after="0" w:line="240" w:lineRule="auto"/>
        <w:rPr>
          <w:sz w:val="24"/>
          <w:szCs w:val="24"/>
        </w:rPr>
      </w:pPr>
      <w:r w:rsidRPr="007C30A7">
        <w:rPr>
          <w:b/>
          <w:color w:val="ED7D31" w:themeColor="accent2"/>
          <w:sz w:val="24"/>
          <w:szCs w:val="24"/>
        </w:rPr>
        <w:t xml:space="preserve">This Action for M.E. template letter/email sets out why people with M.E. should be </w:t>
      </w:r>
      <w:r w:rsidR="00AB1C36">
        <w:rPr>
          <w:b/>
          <w:color w:val="ED7D31" w:themeColor="accent2"/>
          <w:sz w:val="24"/>
          <w:szCs w:val="24"/>
        </w:rPr>
        <w:t xml:space="preserve">a </w:t>
      </w:r>
      <w:r w:rsidR="009413F5">
        <w:rPr>
          <w:b/>
          <w:color w:val="ED7D31" w:themeColor="accent2"/>
          <w:sz w:val="24"/>
          <w:szCs w:val="24"/>
        </w:rPr>
        <w:t>priority</w:t>
      </w:r>
      <w:bookmarkStart w:id="0" w:name="_GoBack"/>
      <w:bookmarkEnd w:id="0"/>
      <w:r w:rsidRPr="007C30A7">
        <w:rPr>
          <w:b/>
          <w:color w:val="ED7D31" w:themeColor="accent2"/>
          <w:sz w:val="24"/>
          <w:szCs w:val="24"/>
        </w:rPr>
        <w:t xml:space="preserve"> for </w:t>
      </w:r>
      <w:r w:rsidR="00AB1C36">
        <w:rPr>
          <w:b/>
          <w:color w:val="ED7D31" w:themeColor="accent2"/>
          <w:sz w:val="24"/>
          <w:szCs w:val="24"/>
        </w:rPr>
        <w:t>the Covid-19 booster</w:t>
      </w:r>
      <w:r w:rsidRPr="007C30A7">
        <w:rPr>
          <w:b/>
          <w:color w:val="ED7D31" w:themeColor="accent2"/>
          <w:sz w:val="24"/>
          <w:szCs w:val="24"/>
        </w:rPr>
        <w:t>. We</w:t>
      </w:r>
      <w:r w:rsidR="00433FD1" w:rsidRPr="007C30A7">
        <w:rPr>
          <w:b/>
          <w:color w:val="ED7D31" w:themeColor="accent2"/>
          <w:sz w:val="24"/>
          <w:szCs w:val="24"/>
        </w:rPr>
        <w:t xml:space="preserve"> would encourage you to edit it </w:t>
      </w:r>
      <w:r w:rsidR="0001077B">
        <w:rPr>
          <w:b/>
          <w:color w:val="ED7D31" w:themeColor="accent2"/>
          <w:sz w:val="24"/>
          <w:szCs w:val="24"/>
        </w:rPr>
        <w:t xml:space="preserve">to add your own voice for the best chance of </w:t>
      </w:r>
      <w:r w:rsidRPr="007C30A7">
        <w:rPr>
          <w:b/>
          <w:color w:val="ED7D31" w:themeColor="accent2"/>
          <w:sz w:val="24"/>
          <w:szCs w:val="24"/>
        </w:rPr>
        <w:t xml:space="preserve">a personalised response, and </w:t>
      </w:r>
      <w:r w:rsidR="0001077B">
        <w:rPr>
          <w:b/>
          <w:color w:val="ED7D31" w:themeColor="accent2"/>
          <w:sz w:val="24"/>
          <w:szCs w:val="24"/>
        </w:rPr>
        <w:t>please</w:t>
      </w:r>
      <w:r w:rsidRPr="007C30A7">
        <w:rPr>
          <w:b/>
          <w:color w:val="ED7D31" w:themeColor="accent2"/>
          <w:sz w:val="24"/>
          <w:szCs w:val="24"/>
        </w:rPr>
        <w:t xml:space="preserve"> let us know how you get on.</w:t>
      </w:r>
      <w:r w:rsidR="007237C3">
        <w:rPr>
          <w:b/>
          <w:color w:val="ED7D31" w:themeColor="accent2"/>
          <w:sz w:val="24"/>
          <w:szCs w:val="24"/>
        </w:rPr>
        <w:t xml:space="preserve"> </w:t>
      </w:r>
    </w:p>
    <w:p w:rsidR="00AB1C36" w:rsidRDefault="00AB1C36" w:rsidP="00AB1C36">
      <w:pPr>
        <w:spacing w:after="0" w:line="240" w:lineRule="auto"/>
        <w:rPr>
          <w:sz w:val="24"/>
          <w:szCs w:val="24"/>
        </w:rPr>
      </w:pPr>
    </w:p>
    <w:p w:rsidR="009F3882" w:rsidRPr="009F3882" w:rsidRDefault="007C30A7" w:rsidP="00AB1C36">
      <w:pPr>
        <w:spacing w:after="0" w:line="240" w:lineRule="auto"/>
        <w:rPr>
          <w:sz w:val="24"/>
          <w:szCs w:val="24"/>
        </w:rPr>
      </w:pPr>
      <w:r>
        <w:rPr>
          <w:sz w:val="24"/>
          <w:szCs w:val="24"/>
        </w:rPr>
        <w:t>Dear</w:t>
      </w:r>
    </w:p>
    <w:p w:rsidR="009F3882" w:rsidRPr="009F3882" w:rsidRDefault="009F3882" w:rsidP="00AB1C36">
      <w:pPr>
        <w:spacing w:after="0" w:line="240" w:lineRule="auto"/>
        <w:rPr>
          <w:sz w:val="24"/>
          <w:szCs w:val="24"/>
        </w:rPr>
      </w:pPr>
      <w:r w:rsidRPr="009F3882">
        <w:rPr>
          <w:sz w:val="24"/>
          <w:szCs w:val="24"/>
        </w:rPr>
        <w:t xml:space="preserve"> </w:t>
      </w:r>
    </w:p>
    <w:p w:rsidR="008A0522" w:rsidRDefault="008A0522" w:rsidP="00AB1C36">
      <w:pPr>
        <w:spacing w:after="0" w:line="240" w:lineRule="auto"/>
        <w:rPr>
          <w:sz w:val="24"/>
          <w:szCs w:val="24"/>
        </w:rPr>
      </w:pPr>
      <w:r w:rsidRPr="008A0522">
        <w:rPr>
          <w:sz w:val="24"/>
          <w:szCs w:val="24"/>
        </w:rPr>
        <w:t>Please can I share the following information with y</w:t>
      </w:r>
      <w:r>
        <w:rPr>
          <w:sz w:val="24"/>
          <w:szCs w:val="24"/>
        </w:rPr>
        <w:t>ou regarding my eligibility for having the Covid-19 booster as a priority,</w:t>
      </w:r>
      <w:r w:rsidRPr="008A0522">
        <w:rPr>
          <w:sz w:val="24"/>
          <w:szCs w:val="24"/>
        </w:rPr>
        <w:t xml:space="preserve"> as someone living with myalgic encephalomyelitis (M.E.), sometimes diagnosed as chronic fatig</w:t>
      </w:r>
      <w:r>
        <w:rPr>
          <w:sz w:val="24"/>
          <w:szCs w:val="24"/>
        </w:rPr>
        <w:t>ue syndrome (CFS, or M.E./CFS).</w:t>
      </w:r>
    </w:p>
    <w:p w:rsidR="009F3882" w:rsidRPr="009F3882" w:rsidRDefault="009F3882" w:rsidP="00AB1C36">
      <w:pPr>
        <w:spacing w:after="0" w:line="240" w:lineRule="auto"/>
        <w:rPr>
          <w:sz w:val="24"/>
          <w:szCs w:val="24"/>
        </w:rPr>
      </w:pPr>
      <w:r w:rsidRPr="009F3882">
        <w:rPr>
          <w:sz w:val="24"/>
          <w:szCs w:val="24"/>
        </w:rPr>
        <w:t xml:space="preserve"> </w:t>
      </w:r>
    </w:p>
    <w:p w:rsidR="00AB1C36" w:rsidRPr="00AB1C36" w:rsidRDefault="00AB1C36" w:rsidP="00AB1C36">
      <w:pPr>
        <w:spacing w:after="0" w:line="240" w:lineRule="auto"/>
        <w:rPr>
          <w:sz w:val="24"/>
          <w:szCs w:val="24"/>
        </w:rPr>
      </w:pPr>
      <w:r w:rsidRPr="00AB1C36">
        <w:rPr>
          <w:sz w:val="24"/>
          <w:szCs w:val="24"/>
        </w:rPr>
        <w:t>The JCVI has advised that individuals who received vaccination in phase 1 of the Covid-19 vaccination programme (priority groups 1 to 9) should be offered a third dose COVID-19 booster vaccine. This includes:</w:t>
      </w:r>
    </w:p>
    <w:p w:rsidR="00AB1C36" w:rsidRPr="00AB1C36" w:rsidRDefault="00AB1C36" w:rsidP="00AB1C36">
      <w:pPr>
        <w:spacing w:after="0" w:line="240" w:lineRule="auto"/>
        <w:rPr>
          <w:sz w:val="24"/>
          <w:szCs w:val="24"/>
        </w:rPr>
      </w:pPr>
    </w:p>
    <w:p w:rsidR="00AB1C36" w:rsidRPr="00AB1C36" w:rsidRDefault="00AB1C36" w:rsidP="00AB1C36">
      <w:pPr>
        <w:pStyle w:val="ListParagraph"/>
        <w:numPr>
          <w:ilvl w:val="0"/>
          <w:numId w:val="1"/>
        </w:numPr>
        <w:spacing w:after="0" w:line="240" w:lineRule="auto"/>
        <w:rPr>
          <w:sz w:val="24"/>
          <w:szCs w:val="24"/>
        </w:rPr>
      </w:pPr>
      <w:r w:rsidRPr="00AB1C36">
        <w:rPr>
          <w:sz w:val="24"/>
          <w:szCs w:val="24"/>
        </w:rPr>
        <w:t>those living in residential care homes for older adults</w:t>
      </w:r>
    </w:p>
    <w:p w:rsidR="00AB1C36" w:rsidRPr="00AB1C36" w:rsidRDefault="00AB1C36" w:rsidP="00AB1C36">
      <w:pPr>
        <w:pStyle w:val="ListParagraph"/>
        <w:numPr>
          <w:ilvl w:val="0"/>
          <w:numId w:val="1"/>
        </w:numPr>
        <w:spacing w:after="0" w:line="240" w:lineRule="auto"/>
        <w:rPr>
          <w:sz w:val="24"/>
          <w:szCs w:val="24"/>
        </w:rPr>
      </w:pPr>
      <w:r w:rsidRPr="00AB1C36">
        <w:rPr>
          <w:sz w:val="24"/>
          <w:szCs w:val="24"/>
        </w:rPr>
        <w:t>all adults aged 50 years or over</w:t>
      </w:r>
    </w:p>
    <w:p w:rsidR="00AB1C36" w:rsidRPr="00AB1C36" w:rsidRDefault="00AB1C36" w:rsidP="00AB1C36">
      <w:pPr>
        <w:pStyle w:val="ListParagraph"/>
        <w:numPr>
          <w:ilvl w:val="0"/>
          <w:numId w:val="1"/>
        </w:numPr>
        <w:spacing w:after="0" w:line="240" w:lineRule="auto"/>
        <w:rPr>
          <w:sz w:val="24"/>
          <w:szCs w:val="24"/>
        </w:rPr>
      </w:pPr>
      <w:r w:rsidRPr="00AB1C36">
        <w:rPr>
          <w:sz w:val="24"/>
          <w:szCs w:val="24"/>
        </w:rPr>
        <w:t>frontline health and social care workers</w:t>
      </w:r>
    </w:p>
    <w:p w:rsidR="00AB1C36" w:rsidRPr="00AB1C36" w:rsidRDefault="00AB1C36" w:rsidP="00AB1C36">
      <w:pPr>
        <w:pStyle w:val="ListParagraph"/>
        <w:numPr>
          <w:ilvl w:val="0"/>
          <w:numId w:val="1"/>
        </w:numPr>
        <w:spacing w:after="0" w:line="240" w:lineRule="auto"/>
        <w:rPr>
          <w:sz w:val="24"/>
          <w:szCs w:val="24"/>
        </w:rPr>
      </w:pPr>
      <w:r w:rsidRPr="00AB1C36">
        <w:rPr>
          <w:sz w:val="24"/>
          <w:szCs w:val="24"/>
        </w:rPr>
        <w:t xml:space="preserve">all those aged 16 to 49 years with underlying health conditions that put them at higher risk of severe COVID-19 (as set out in the </w:t>
      </w:r>
      <w:hyperlink r:id="rId5" w:history="1">
        <w:r w:rsidRPr="00AB1C36">
          <w:rPr>
            <w:rStyle w:val="Hyperlink"/>
            <w:sz w:val="24"/>
            <w:szCs w:val="24"/>
          </w:rPr>
          <w:t>Green Book</w:t>
        </w:r>
      </w:hyperlink>
      <w:r w:rsidRPr="00AB1C36">
        <w:rPr>
          <w:sz w:val="24"/>
          <w:szCs w:val="24"/>
        </w:rPr>
        <w:t>), and adult carers</w:t>
      </w:r>
    </w:p>
    <w:p w:rsidR="00AB1C36" w:rsidRPr="00AB1C36" w:rsidRDefault="00AB1C36" w:rsidP="00AB1C36">
      <w:pPr>
        <w:pStyle w:val="ListParagraph"/>
        <w:numPr>
          <w:ilvl w:val="0"/>
          <w:numId w:val="1"/>
        </w:numPr>
        <w:spacing w:after="0" w:line="240" w:lineRule="auto"/>
        <w:rPr>
          <w:sz w:val="24"/>
          <w:szCs w:val="24"/>
        </w:rPr>
      </w:pPr>
      <w:r w:rsidRPr="00AB1C36">
        <w:rPr>
          <w:sz w:val="24"/>
          <w:szCs w:val="24"/>
        </w:rPr>
        <w:t>adult household contacts (aged 16 or over) of immunosuppressed individuals.</w:t>
      </w:r>
    </w:p>
    <w:p w:rsidR="00AB1C36" w:rsidRDefault="00AB1C36" w:rsidP="00AB1C36">
      <w:pPr>
        <w:spacing w:after="0" w:line="240" w:lineRule="auto"/>
        <w:rPr>
          <w:sz w:val="24"/>
          <w:szCs w:val="24"/>
        </w:rPr>
      </w:pPr>
    </w:p>
    <w:p w:rsidR="00AB1C36" w:rsidRPr="00AB1C36" w:rsidRDefault="00AB1C36" w:rsidP="00AB1C36">
      <w:pPr>
        <w:spacing w:after="0" w:line="240" w:lineRule="auto"/>
        <w:rPr>
          <w:sz w:val="24"/>
          <w:szCs w:val="24"/>
        </w:rPr>
      </w:pPr>
      <w:r w:rsidRPr="00AB1C36">
        <w:rPr>
          <w:sz w:val="24"/>
          <w:szCs w:val="24"/>
        </w:rPr>
        <w:t>The Green Book includes those with chronic neurological disease in its clinical risk groups (table 3 on page 14), specifically: "</w:t>
      </w:r>
      <w:r w:rsidRPr="00AB1C36">
        <w:rPr>
          <w:i/>
          <w:sz w:val="24"/>
          <w:szCs w:val="24"/>
        </w:rPr>
        <w:t>Stroke, transient ischaemic attack (TIA). Conditions in which respiratory function may be compromised due to neurological or neuromuscular disease (e.g. polio syndrome sufferers). This group also includes individuals with cerebral palsy, severe or profound and multiple learning disabilities (PMLD), Down’s syndrome, multiple sclerosis, epilepsy, dementia, Parkinson’s disease, motor neurone disease and related or similar conditions; or hereditary and degenerative disease of the nervous system or muscles; or severe neurological disability."</w:t>
      </w:r>
    </w:p>
    <w:p w:rsidR="00AB1C36" w:rsidRPr="00AB1C36" w:rsidRDefault="00AB1C36" w:rsidP="00AB1C36">
      <w:pPr>
        <w:spacing w:after="0" w:line="240" w:lineRule="auto"/>
        <w:rPr>
          <w:sz w:val="24"/>
          <w:szCs w:val="24"/>
        </w:rPr>
      </w:pPr>
    </w:p>
    <w:p w:rsidR="00096E2D" w:rsidRPr="00AB1C36" w:rsidRDefault="00AB1C36" w:rsidP="00AB1C36">
      <w:pPr>
        <w:spacing w:after="0" w:line="240" w:lineRule="auto"/>
        <w:rPr>
          <w:b/>
          <w:sz w:val="24"/>
          <w:szCs w:val="24"/>
        </w:rPr>
      </w:pPr>
      <w:r w:rsidRPr="00AB1C36">
        <w:rPr>
          <w:b/>
          <w:sz w:val="24"/>
          <w:szCs w:val="24"/>
        </w:rPr>
        <w:t>While M.E. is not mentioned specifically, I believe the severity of my M.E. means that the "severe neurological disability" criteria applies to me.</w:t>
      </w:r>
    </w:p>
    <w:p w:rsidR="00AB1C36" w:rsidRDefault="00AB1C36" w:rsidP="00AB1C36">
      <w:pPr>
        <w:spacing w:after="0" w:line="240" w:lineRule="auto"/>
        <w:rPr>
          <w:sz w:val="24"/>
          <w:szCs w:val="24"/>
        </w:rPr>
      </w:pPr>
    </w:p>
    <w:p w:rsidR="00433FD1" w:rsidRDefault="009F3882" w:rsidP="00AB1C36">
      <w:pPr>
        <w:spacing w:after="0" w:line="240" w:lineRule="auto"/>
        <w:rPr>
          <w:sz w:val="24"/>
          <w:szCs w:val="24"/>
        </w:rPr>
      </w:pPr>
      <w:r w:rsidRPr="009F3882">
        <w:rPr>
          <w:sz w:val="24"/>
          <w:szCs w:val="24"/>
        </w:rPr>
        <w:t xml:space="preserve">My understanding is that GP surgeries are responsible for identifying eligible patients to invite for the vaccine, based on the JCVI guidance and risk status. I’m therefore asking you to assess my risk, so that you can appropriately assess my priority level for the </w:t>
      </w:r>
      <w:r w:rsidR="00AB1C36">
        <w:rPr>
          <w:sz w:val="24"/>
          <w:szCs w:val="24"/>
        </w:rPr>
        <w:t>booster</w:t>
      </w:r>
      <w:r w:rsidRPr="009F3882">
        <w:rPr>
          <w:sz w:val="24"/>
          <w:szCs w:val="24"/>
        </w:rPr>
        <w:t xml:space="preserve">. </w:t>
      </w:r>
    </w:p>
    <w:p w:rsidR="005C4175" w:rsidRDefault="005C4175" w:rsidP="00AB1C36">
      <w:pPr>
        <w:spacing w:after="0" w:line="240" w:lineRule="auto"/>
        <w:rPr>
          <w:sz w:val="24"/>
          <w:szCs w:val="24"/>
        </w:rPr>
      </w:pPr>
    </w:p>
    <w:p w:rsidR="005C4175" w:rsidRPr="005C4175" w:rsidRDefault="005C4175" w:rsidP="005C4175">
      <w:pPr>
        <w:spacing w:after="0" w:line="240" w:lineRule="auto"/>
        <w:rPr>
          <w:rFonts w:cstheme="minorHAnsi"/>
          <w:sz w:val="24"/>
          <w:szCs w:val="24"/>
        </w:rPr>
      </w:pPr>
      <w:r w:rsidRPr="005C4175">
        <w:rPr>
          <w:rFonts w:cstheme="minorHAnsi"/>
          <w:sz w:val="24"/>
          <w:szCs w:val="24"/>
        </w:rPr>
        <w:t>You can find more information and resources at:</w:t>
      </w:r>
    </w:p>
    <w:p w:rsidR="005C4175" w:rsidRPr="005C4175" w:rsidRDefault="009413F5" w:rsidP="005C4175">
      <w:pPr>
        <w:numPr>
          <w:ilvl w:val="0"/>
          <w:numId w:val="3"/>
        </w:numPr>
        <w:spacing w:after="0" w:line="240" w:lineRule="auto"/>
        <w:contextualSpacing/>
        <w:rPr>
          <w:rFonts w:cstheme="minorHAnsi"/>
          <w:sz w:val="24"/>
          <w:szCs w:val="24"/>
        </w:rPr>
      </w:pPr>
      <w:hyperlink r:id="rId6" w:history="1">
        <w:r w:rsidR="005C4175" w:rsidRPr="005C4175">
          <w:rPr>
            <w:rFonts w:cstheme="minorHAnsi"/>
            <w:color w:val="0563C1" w:themeColor="hyperlink"/>
            <w:sz w:val="24"/>
            <w:szCs w:val="24"/>
            <w:u w:val="single"/>
          </w:rPr>
          <w:t>www.actionforme.org.uk/medical</w:t>
        </w:r>
      </w:hyperlink>
      <w:r w:rsidR="005C4175" w:rsidRPr="005C4175">
        <w:rPr>
          <w:rFonts w:cstheme="minorHAnsi"/>
          <w:sz w:val="24"/>
          <w:szCs w:val="24"/>
        </w:rPr>
        <w:t xml:space="preserve"> for information for professionals on diagnosis, aetiology, prevalence, referrals and symptom management</w:t>
      </w:r>
    </w:p>
    <w:p w:rsidR="005C4175" w:rsidRPr="005C4175" w:rsidRDefault="009413F5" w:rsidP="005C4175">
      <w:pPr>
        <w:numPr>
          <w:ilvl w:val="0"/>
          <w:numId w:val="2"/>
        </w:numPr>
        <w:spacing w:after="0" w:line="240" w:lineRule="auto"/>
        <w:contextualSpacing/>
        <w:rPr>
          <w:rFonts w:cstheme="minorHAnsi"/>
          <w:sz w:val="24"/>
          <w:szCs w:val="24"/>
        </w:rPr>
      </w:pPr>
      <w:hyperlink r:id="rId7" w:history="1">
        <w:r w:rsidR="005C4175" w:rsidRPr="005C4175">
          <w:rPr>
            <w:color w:val="0563C1" w:themeColor="hyperlink"/>
            <w:sz w:val="24"/>
            <w:szCs w:val="24"/>
            <w:u w:val="single"/>
          </w:rPr>
          <w:t>www.studyprn.com/p/chronic-fatigue-syndrome</w:t>
        </w:r>
      </w:hyperlink>
      <w:r w:rsidR="005C4175" w:rsidRPr="005C4175">
        <w:rPr>
          <w:sz w:val="24"/>
          <w:szCs w:val="24"/>
        </w:rPr>
        <w:t xml:space="preserve"> for a free, CPD-accredited online M.E. learning module for professionals</w:t>
      </w:r>
    </w:p>
    <w:p w:rsidR="005C4175" w:rsidRPr="005C4175" w:rsidRDefault="009413F5" w:rsidP="00AB1C36">
      <w:pPr>
        <w:numPr>
          <w:ilvl w:val="0"/>
          <w:numId w:val="2"/>
        </w:numPr>
        <w:spacing w:after="0" w:line="240" w:lineRule="auto"/>
        <w:contextualSpacing/>
        <w:rPr>
          <w:rFonts w:cstheme="minorHAnsi"/>
          <w:sz w:val="24"/>
          <w:szCs w:val="24"/>
        </w:rPr>
      </w:pPr>
      <w:hyperlink r:id="rId8" w:history="1">
        <w:r w:rsidR="005C4175" w:rsidRPr="005C4175">
          <w:rPr>
            <w:rFonts w:cstheme="minorHAnsi"/>
            <w:color w:val="0563C1" w:themeColor="hyperlink"/>
            <w:sz w:val="24"/>
            <w:szCs w:val="24"/>
            <w:u w:val="single"/>
          </w:rPr>
          <w:t>www.actionforme.org.uk/info-and-support</w:t>
        </w:r>
      </w:hyperlink>
      <w:r w:rsidR="005C4175" w:rsidRPr="005C4175">
        <w:rPr>
          <w:rFonts w:cstheme="minorHAnsi"/>
          <w:sz w:val="24"/>
          <w:szCs w:val="24"/>
        </w:rPr>
        <w:t xml:space="preserve"> for information, support and advocacy services for people with M.E. of all ages – or call 0117 927 9551. </w:t>
      </w:r>
    </w:p>
    <w:p w:rsidR="009F3882" w:rsidRPr="009F3882" w:rsidRDefault="009F3882" w:rsidP="00AB1C36">
      <w:pPr>
        <w:spacing w:after="0" w:line="240" w:lineRule="auto"/>
        <w:rPr>
          <w:sz w:val="24"/>
          <w:szCs w:val="24"/>
        </w:rPr>
      </w:pPr>
    </w:p>
    <w:p w:rsidR="007C30A7" w:rsidRDefault="00096E2D" w:rsidP="00AB1C36">
      <w:pPr>
        <w:spacing w:after="0" w:line="240" w:lineRule="auto"/>
        <w:rPr>
          <w:sz w:val="24"/>
          <w:szCs w:val="24"/>
        </w:rPr>
      </w:pPr>
      <w:r>
        <w:rPr>
          <w:sz w:val="24"/>
          <w:szCs w:val="24"/>
        </w:rPr>
        <w:t>With thanks for your time and best regards</w:t>
      </w:r>
    </w:p>
    <w:p w:rsidR="0099111F" w:rsidRPr="009F3882" w:rsidRDefault="0099111F" w:rsidP="00AB1C36">
      <w:pPr>
        <w:spacing w:after="0" w:line="240" w:lineRule="auto"/>
        <w:rPr>
          <w:sz w:val="24"/>
          <w:szCs w:val="24"/>
        </w:rPr>
      </w:pPr>
    </w:p>
    <w:sectPr w:rsidR="0099111F" w:rsidRPr="009F3882" w:rsidSect="005C4175">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E620D"/>
    <w:multiLevelType w:val="hybridMultilevel"/>
    <w:tmpl w:val="A37C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916C16"/>
    <w:multiLevelType w:val="hybridMultilevel"/>
    <w:tmpl w:val="93CED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C01605"/>
    <w:multiLevelType w:val="hybridMultilevel"/>
    <w:tmpl w:val="DD40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82"/>
    <w:rsid w:val="0001077B"/>
    <w:rsid w:val="00096E2D"/>
    <w:rsid w:val="0012525A"/>
    <w:rsid w:val="002457BD"/>
    <w:rsid w:val="00433FD1"/>
    <w:rsid w:val="005C4175"/>
    <w:rsid w:val="005F2C0C"/>
    <w:rsid w:val="007237C3"/>
    <w:rsid w:val="007C30A7"/>
    <w:rsid w:val="008A0522"/>
    <w:rsid w:val="009413F5"/>
    <w:rsid w:val="0099111F"/>
    <w:rsid w:val="009F3882"/>
    <w:rsid w:val="00AB1C36"/>
    <w:rsid w:val="00F06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0CE7"/>
  <w15:chartTrackingRefBased/>
  <w15:docId w15:val="{08D0A452-B10D-4FCF-971A-48ADAD06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7BD"/>
    <w:rPr>
      <w:color w:val="0563C1" w:themeColor="hyperlink"/>
      <w:u w:val="single"/>
    </w:rPr>
  </w:style>
  <w:style w:type="paragraph" w:styleId="ListParagraph">
    <w:name w:val="List Paragraph"/>
    <w:basedOn w:val="Normal"/>
    <w:uiPriority w:val="34"/>
    <w:qFormat/>
    <w:rsid w:val="00AB1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5085">
      <w:bodyDiv w:val="1"/>
      <w:marLeft w:val="0"/>
      <w:marRight w:val="0"/>
      <w:marTop w:val="0"/>
      <w:marBottom w:val="0"/>
      <w:divBdr>
        <w:top w:val="none" w:sz="0" w:space="0" w:color="auto"/>
        <w:left w:val="none" w:sz="0" w:space="0" w:color="auto"/>
        <w:bottom w:val="none" w:sz="0" w:space="0" w:color="auto"/>
        <w:right w:val="none" w:sz="0" w:space="0" w:color="auto"/>
      </w:divBdr>
    </w:div>
    <w:div w:id="1468354844">
      <w:bodyDiv w:val="1"/>
      <w:marLeft w:val="0"/>
      <w:marRight w:val="0"/>
      <w:marTop w:val="0"/>
      <w:marBottom w:val="0"/>
      <w:divBdr>
        <w:top w:val="none" w:sz="0" w:space="0" w:color="auto"/>
        <w:left w:val="none" w:sz="0" w:space="0" w:color="auto"/>
        <w:bottom w:val="none" w:sz="0" w:space="0" w:color="auto"/>
        <w:right w:val="none" w:sz="0" w:space="0" w:color="auto"/>
      </w:divBdr>
    </w:div>
    <w:div w:id="1545018061">
      <w:bodyDiv w:val="1"/>
      <w:marLeft w:val="0"/>
      <w:marRight w:val="0"/>
      <w:marTop w:val="0"/>
      <w:marBottom w:val="0"/>
      <w:divBdr>
        <w:top w:val="none" w:sz="0" w:space="0" w:color="auto"/>
        <w:left w:val="none" w:sz="0" w:space="0" w:color="auto"/>
        <w:bottom w:val="none" w:sz="0" w:space="0" w:color="auto"/>
        <w:right w:val="none" w:sz="0" w:space="0" w:color="auto"/>
      </w:divBdr>
    </w:div>
    <w:div w:id="1659571008">
      <w:bodyDiv w:val="1"/>
      <w:marLeft w:val="0"/>
      <w:marRight w:val="0"/>
      <w:marTop w:val="0"/>
      <w:marBottom w:val="0"/>
      <w:divBdr>
        <w:top w:val="none" w:sz="0" w:space="0" w:color="auto"/>
        <w:left w:val="none" w:sz="0" w:space="0" w:color="auto"/>
        <w:bottom w:val="none" w:sz="0" w:space="0" w:color="auto"/>
        <w:right w:val="none" w:sz="0" w:space="0" w:color="auto"/>
      </w:divBdr>
    </w:div>
    <w:div w:id="167113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forme.org.uk/info-and-support" TargetMode="External"/><Relationship Id="rId3" Type="http://schemas.openxmlformats.org/officeDocument/2006/relationships/settings" Target="settings.xml"/><Relationship Id="rId7" Type="http://schemas.openxmlformats.org/officeDocument/2006/relationships/hyperlink" Target="http://www.studyprn.com/p/chronic-fatigue-syndr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ionforme.org.uk/medical" TargetMode="External"/><Relationship Id="rId5" Type="http://schemas.openxmlformats.org/officeDocument/2006/relationships/hyperlink" Target="https://assets.publishing.service.gov.uk/government/uploads/system/uploads/attachment_data/file/1033391/Greenbook_chapter_14a_15Nov2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Ogden</dc:creator>
  <cp:keywords/>
  <dc:description/>
  <cp:lastModifiedBy>Clare Ogden</cp:lastModifiedBy>
  <cp:revision>5</cp:revision>
  <dcterms:created xsi:type="dcterms:W3CDTF">2021-11-15T17:22:00Z</dcterms:created>
  <dcterms:modified xsi:type="dcterms:W3CDTF">2021-11-17T10:11:00Z</dcterms:modified>
</cp:coreProperties>
</file>